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ECE" w:rsidRPr="001B65BC" w:rsidRDefault="00FC3C30" w:rsidP="001B65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>Разъяснения законодательства</w:t>
      </w:r>
    </w:p>
    <w:p w:rsidR="001B65BC" w:rsidRPr="001B65BC" w:rsidRDefault="00FC3C30" w:rsidP="001B65B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1B65BC"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 Ярославская транспортная прокуратура разъясняет: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65BC" w:rsidRPr="001B65BC">
        <w:rPr>
          <w:rFonts w:ascii="Times New Roman" w:hAnsi="Times New Roman"/>
          <w:b/>
          <w:sz w:val="24"/>
          <w:szCs w:val="24"/>
        </w:rPr>
        <w:t>Подписан закон об уголовной ответственности за незаконное использование компьютерной информации, содержащей персональные данные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>Федеральный закон от 30.11.2024 № 421-ФЗ вводит в УК РФ новую статью 272.1 "Незаконные использование и (или) передача, сбор и (или) хранение компьютерной информации, содержащей персональные данные, а равно создание и (или) обеспечение функционирования информационных ресурсов, предназначенных для ее незаконных хранения и (или) распространения".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Статья предусматривает наказание в виде лишения свободы на срок до десяти лет со штрафом в размере до трех миллионов рублей, если деяния, предусмотренные частями первой, второй, третьей или четвертой данной статьи, повлекли тяжкие последствия либо совершены организованной группой.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Также введено наказание за совершение деяний, предусмотренных частями первой, второй или третьей данной статьи, сопряженных с трансграничной передачей компьютерной информации, содержащей персональные данные, и (или) трансграничным перемещением носителей информации, содержащих персональные данные.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Действие статьи не распространяется на случаи обработки персональных данных физическими лицами исключительно для личных и семейных нужд.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proofErr w:type="gramStart"/>
      <w:r w:rsidRPr="001B65BC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  <w:r w:rsidRPr="001B65BC">
        <w:rPr>
          <w:rFonts w:ascii="Times New Roman" w:hAnsi="Times New Roman"/>
          <w:b/>
          <w:bCs/>
          <w:sz w:val="24"/>
          <w:szCs w:val="24"/>
        </w:rPr>
        <w:t xml:space="preserve"> 1 марта 2025 года оптимизируются требования к антитеррористической защищенности объектов, предназначенных для обслуживания пассажиров и судов морского и внутреннего водного транспорта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>Постановлением Правительства РФ от 30.11.2024 №1687 утверждены требования по обеспечению транспортной безопасности, в том числе требования к антитеррористической защищенности объектов (территорий), учитывающие уровни безопасности для объектов транспортной инфраструктуры морского и внутреннего водного транспорта, не подлежащих категорированию, предназначенных для обслуживания пассажиров и судов морского и (или) внутреннего водного транспорта.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>Документ описывает перечень объектов транспортной инфраструктуры, на которые распространяется его действие, а также обязанности субъектов транспортной инфраструктуры, исполняемые в целях обеспечения транспортной безопасности.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Помимо этого, в приложении приведена типовая форма паспорта обеспечения транспортной безопасности.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>Постановление Правительства РФ от 30.11.2024 №1687 вступает в силу с 01.03.2025.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/>
          <w:b/>
          <w:sz w:val="24"/>
          <w:szCs w:val="24"/>
        </w:rPr>
        <w:t xml:space="preserve">3.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1B65BC">
        <w:rPr>
          <w:rFonts w:ascii="Times New Roman" w:hAnsi="Times New Roman"/>
          <w:b/>
          <w:sz w:val="24"/>
          <w:szCs w:val="24"/>
        </w:rPr>
        <w:t>Дополнен перечень объектов транспортной инфраструктуры, вокруг которых устанавливаются зоны безопасности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Постановлением Правительства РФ от 27.11.2024 № 1632 к таким объектам также отнесены, в частности, морские терминалы, используемые для осуществления операций с опасными грузами, порты, которые расположены на внутренних водных путях и в которых осуществляется перевалка грузов повышенной опасности, судоходные гидротехнические </w:t>
      </w:r>
      <w:r w:rsidRPr="001B65BC">
        <w:rPr>
          <w:rFonts w:ascii="Times New Roman" w:hAnsi="Times New Roman"/>
          <w:sz w:val="24"/>
          <w:szCs w:val="24"/>
        </w:rPr>
        <w:lastRenderedPageBreak/>
        <w:t xml:space="preserve">сооружения, железнодорожные вокзалы, автовокзалы, расположенные на автомобильных дорогах мосты, эстакады и тоннели.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/>
          <w:b/>
          <w:sz w:val="24"/>
          <w:szCs w:val="24"/>
        </w:rPr>
        <w:t xml:space="preserve">4.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1B65BC">
        <w:rPr>
          <w:rFonts w:ascii="Times New Roman" w:hAnsi="Times New Roman"/>
          <w:b/>
          <w:sz w:val="24"/>
          <w:szCs w:val="24"/>
        </w:rPr>
        <w:t>Уточнены требования к обеспечению транспортной безопасности транспортных средств автомобильного транспорта и городского наземного электрического транспорта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Постановлением Правительства РФ от 16.11.2024 № 1574 установлено, что для транспортных средств, осуществляющих перевозки пассажиров по маршрутам регулярных перевозок и эксплуатируемых одним субъектом транспортной инфраструктуры (перевозчиком), у которых идентичны категории и классы, соответствующие техническому регламенту Таможенного союза «О безопасности колесных транспортных средств», а также конструктивные элементы (количество осей, количество входов-выходов для пассажиров, схема компоновки транспортного средства), влияющие на применение одинаковых мер по защите этих транспортных средств от актов незаконного вмешательства, паспорт транспортного средства может разрабатываться и утверждаться на группу таких транспортных средств по одному или нескольким маршрутам регулярных перевозок, на которых используются эти транспортные средства.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В случае разработки и утверждения паспорта транспортного средства на группу транспортных средств внесение в него изменений (дополнений), переутверждение и представление в Росавтодор в связи с переходом права собственности на транспортное средство или переходом права его использования на ином законном основании, а также при изменении маршрута регулярной перевозки транспортного средства должны осуществляться в течение 3 месяцев со дня возникновения указанных обстоятельств.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Кроме того, в новой редакции изложен пункт 2 приложения к указанным требованиям «Сведения о транспортном средстве (группе транспортных средств) и об осуществляемых перевозках».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/>
          <w:b/>
          <w:sz w:val="24"/>
          <w:szCs w:val="24"/>
        </w:rPr>
        <w:t xml:space="preserve">5.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1B65BC">
        <w:rPr>
          <w:rFonts w:ascii="Times New Roman" w:hAnsi="Times New Roman"/>
          <w:b/>
          <w:sz w:val="24"/>
          <w:szCs w:val="24"/>
        </w:rPr>
        <w:t>Конституционный Суд запретил применять предусмотренные ГК РФ сроки исковой давности к искам прокуроров об обращении коррупционного имущества в доход государства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Постановлением Конституционного Суда РФ от 31.10.2024 № 49-П взаимосвязанные статьи 195, 196, пункт 1 статьи 197, пункт 1 и абзац второй пункта 2 статьи 200, абзац второй статьи 208 ГК РФ признаны не соответствующими Конституции и ее статьям в той мере, в какой судебное толкование позволяет рассматривать установленные ими общие трехлетний и десятилетний сроки исковой давности и правила их течения в качестве распространяющихся на требования прокуроров об обращении в доход РФ имущества как приобретенного вследствие нарушения лицом, занимающим или занимавшим публично значимую должность, требований и запретов, направленных на предотвращение коррупции, что не позволяет обеспечить учет особенностей деяний, в связи с которыми возникают основания для таких требований. Это касается в том числе и имущества, в которое первоначально приобретенное посредством коррупции имущество было частично или полностью превращено или преобразовано.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В действующем законодательном регулировании какой-либо срок, ограничивающий возможность подачи прокурором искового заявления с требованиями об обращении в доход государства такого имущества, считается неустановленным.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lastRenderedPageBreak/>
        <w:t xml:space="preserve">В данном случае федеральный законодатель вправе как внести изменения в действующее правовое регулирование, так и воздержаться от каких-либо нормативных изменений, поскольку наличие срока, ограничивающего возможность предъявления исковых заявлений прокуроров, не является необходимым в российской правовой системе.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В случае установления федеральным законодателем срока (сроков) давности для требований прокурора об обращении коррупционного имущества в доход государства законодателю необходимо учитывать изложенную в Постановлении позицию Конституционного Суда, в частности: установить сроки, существенно превышающие уже имеющиеся сроки давности (три и десять лет); определить начало течения этих сроков (этого срока) со дня выявления прокурором фактов нарушения антикоррупционных требований и запретов и приобретения имущества вследствие этих нарушений; закрепить иные специальные правила течения срока давности и др. Также не должно допускаться применение такого срока (сроков) в случае противодействия ответчика выявлению прокурором обстоятельств нарушения антикоррупционных требований и запретов и формированию доказательственной базы для обращения в суд с исковым заявлением.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Отмечено, что сделанный в настоящем Постановлении вывод относится только к исковым заявлениям прокуроров, содержащим требования об обращении в доход РФ коррупционного имущества, и не может быть автоматически распространен на решение вопроса о применимости или неприменимости исковой давности к иным исковым заявлениям прокуроров, направленным на передачу имущества публично-правовым образованиям или признание их права на имущество, в том числе основанным на нарушении порядка приватизации.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B65BC">
        <w:rPr>
          <w:rFonts w:ascii="Times New Roman" w:hAnsi="Times New Roman"/>
          <w:b/>
          <w:sz w:val="24"/>
          <w:szCs w:val="24"/>
        </w:rPr>
        <w:t xml:space="preserve">6.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Ярославская транспортная прокуратура разъясняет: </w:t>
      </w:r>
      <w:r w:rsidRPr="001B65BC">
        <w:rPr>
          <w:rFonts w:ascii="Times New Roman" w:hAnsi="Times New Roman"/>
          <w:b/>
          <w:sz w:val="24"/>
          <w:szCs w:val="24"/>
        </w:rPr>
        <w:t>Лица, вовлекаемые в процесс дачи взятки, выступают в качестве субъекта незаконного воздействия, а потому могут считаться потерпевшими, при условии, что их действие не образует состава коррупционного преступления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B65BC">
        <w:rPr>
          <w:rFonts w:ascii="Times New Roman" w:hAnsi="Times New Roman"/>
          <w:sz w:val="24"/>
          <w:szCs w:val="24"/>
        </w:rPr>
        <w:t xml:space="preserve">Постановлением Конституционного Суда РФ от 01.10.2024 № 42-П часть 1 статьи 42 УПК РФ признана не противоречащей Конституции РФ, поскольку по своему конституционно-правовому смыслу во взаимосвязи с положениями статьи 290 УК РФ (получение взятки) она предполагает признание лица, которое отказалось от предложения о даче взятки, сообщило о данном предложении в правоохранительные органы и содействовало изобличению виновных, потерпевшим по уголовному делу о получении взятки. </w:t>
      </w:r>
    </w:p>
    <w:p w:rsidR="001B65BC" w:rsidRPr="001B65BC" w:rsidRDefault="001B65BC" w:rsidP="001B65B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>Ярославская транспортная прокуратура разъясняет: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>Утверждены правила лицензирования в сфере внешней торговли товарами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 Постановлением Правительства Российской Федерации от 18.11.2024 № 1577 утверждены Правила лицензирования в сфере внешней торговли товарами.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Правила определяют порядок выдачи генеральных, разовых и исключительных лицензий на экспорт или импорт товаров, в том числе в электронном виде. Они применяются в отношении товаров, по которым Правительством Российской Федерации принято решение о введении меры нетарифного регулирования в одностороннем порядке, за исключением товаров, включенных в единый перечень товаров, к которым применяются меры нетарифного регулирования в торговле с третьими странами.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lastRenderedPageBreak/>
        <w:t>Правилами установлен порядок выдачи разовых лицензий при вывозе товаров в рамках тарифных квот, а также предусмотрена возможность выдачи (оформления) лицензии в автоматическом режиме в отношении товаров, включенных в указанный единый перечень товаров.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Правилами установлено следующее: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лицензии выдаются на каждый товар, классифицируемый по ТН ВЭД ЕАЭС, в отношении которого введено лицензирование;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период действия разовой или генеральной лицензии не может превышать одного года с даты начала ее действия. Срок действия разовой лицензии может быть ограничен сроком действия внешнеторгового контракта (договора) или сроком действия документа, являющегося основанием для выдачи лицензии;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за выдачу (оформление) лицензии уплачивается госпошлина в размере, установленном ст. 333.33 НК РФ;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выдача лицензии или отказ в ее выдаче осуществляется Минпромторгом в течение 15 рабочих дней с даты поступления необходимых документов, а через ИС «Одно окно» в сфере внешнеторговой деятельности – в течение 10 рабочих дней.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Кроме того, Правилами определены: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перечень документов (сведений), представляемых заявителем или его представителем для оформления лицензии;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перечень оснований для отказа в выдаче лицензии;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инструкция по оформлению заявления на выдачу лицензии и оформлению лицензии;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– правила приостановления, возобновления и прекращения действия лицензии.</w:t>
      </w:r>
    </w:p>
    <w:p w:rsid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Правила вступили в силу 19 ноября 2024 года.</w:t>
      </w:r>
    </w:p>
    <w:p w:rsid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>Ярославская транспортная прокуратура разъясняет: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>онституционный Суд Российской Федерации признал право работника на присуждение судебной неустойки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 Постановлением Конституционного Суда РФ от 14.11.2024 № 52-П «По делу о </w:t>
      </w:r>
      <w:r w:rsidRPr="001B65BC">
        <w:rPr>
          <w:rFonts w:ascii="Times New Roman" w:hAnsi="Times New Roman" w:cs="Times New Roman"/>
          <w:sz w:val="24"/>
          <w:szCs w:val="24"/>
        </w:rPr>
        <w:t>проверке конституционности пункта 1 статьи 308.3 Гражданского кодекса Российской Федерации, части третьей статьи 206 Гражданского процессуального кодекса Российской Федерации и статьи 419 Трудового кодекса Российской Федерации в связи с жалобой гражданина С.С. Шапки» признал часть третью статьи 206 ГПК Российской Федерации не противоречащей Конституции Российской Федерации в той мере, в какой она не исключает возможности присуждения по требованию работника судебной неустойки, подлежащей взысканию с работодателя на случай неисполнения судебного акта, обязывающего его совершить определенные действия.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Судебная неустойка – это сумма, которую ответчик (должник) должен уплатить в случае неисполнения решения суда. Истец может потребовать взыскания судебной неустойки, чтобы мотивировать должника оперативно исполнить решение суда и защитить свои интересы на случай его неисполнения.</w:t>
      </w:r>
    </w:p>
    <w:p w:rsid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lastRenderedPageBreak/>
        <w:t xml:space="preserve">В рассматриваемой ситуации суд по иску работника обязал организацию оформить с работником договор, издать приказы о приеме и увольнении, внести данные в трудовую книжку. 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Через несколько месяцев специалист обратился</w:t>
      </w:r>
      <w:r w:rsidRPr="001B65BC">
        <w:rPr>
          <w:rFonts w:ascii="Times New Roman" w:hAnsi="Times New Roman" w:cs="Times New Roman"/>
          <w:sz w:val="24"/>
          <w:szCs w:val="24"/>
        </w:rPr>
        <w:br/>
        <w:t>за неустойкой, поскольку требования в срок ответчиком исполнены не были, но суд ему отказал, сославшись на то, что судебная неустойка в пользу работника</w:t>
      </w:r>
      <w:r w:rsidRPr="001B65BC">
        <w:rPr>
          <w:rFonts w:ascii="Times New Roman" w:hAnsi="Times New Roman" w:cs="Times New Roman"/>
          <w:sz w:val="24"/>
          <w:szCs w:val="24"/>
        </w:rPr>
        <w:br/>
        <w:t>не предусмотрена законодательством.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Конституционный суд РФ указал, что судебная неустойка предусмотрена не только ГК РФ, но и ГПК РФ, а также АПК РФ, которые определяют требования, не зависящие от отраслевой принадлежности спора. Неустойку можно присуждать в любых случаях неисполнения работодателем судебного акта, по которому он обязан совершить действия, не связанные с передачей имущества или денег.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Постановление вступило в силу 15.11.2024.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65BC">
        <w:rPr>
          <w:rFonts w:ascii="Times New Roman" w:hAnsi="Times New Roman" w:cs="Times New Roman"/>
          <w:b/>
          <w:bCs/>
          <w:sz w:val="24"/>
          <w:szCs w:val="24"/>
        </w:rPr>
        <w:t xml:space="preserve">9. Ярославская транспортная прокуратура разъясняет: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B65BC">
        <w:rPr>
          <w:rFonts w:ascii="Times New Roman" w:hAnsi="Times New Roman" w:cs="Times New Roman"/>
          <w:b/>
          <w:bCs/>
          <w:sz w:val="24"/>
          <w:szCs w:val="24"/>
        </w:rPr>
        <w:t>тверждены типовые условия контрактов на выполнение авиационных работ в целях оказания медицинской помощи на территории Российской Федерации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14.11.2024 № 1550 утверждены Типовые условия контрактов на выполнение авиационных работ в целях оказания медицинской помощи на территории Российской Федерации.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Согласно положениям постановления у исполнителя контракта должен быть сертификат (свидетельство) эксплуатанта. Также он обязан при необходимости предоставлять резервное воздушное судно и сменный экипаж. При этом заказчик должен информировать экипаж о возможных рисках и угрозах здоровью при выполнении работ, обеспечить его необходимыми средствами индивидуальной защиты.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Данные условия применяются при осуществлении закупок, извещения об осуществлении которых размещены в Единой информационной системе в сфере закупок либо приглашения принять участие в которых направлены после 01.01.2025, в случае заключения контрактов с единственным контрагентом после указанной даты.</w:t>
      </w:r>
    </w:p>
    <w:p w:rsid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5BC">
        <w:rPr>
          <w:rFonts w:ascii="Times New Roman" w:hAnsi="Times New Roman" w:cs="Times New Roman"/>
          <w:sz w:val="24"/>
          <w:szCs w:val="24"/>
        </w:rPr>
        <w:t>Постановление вступает в силу с 01.01.2025.</w:t>
      </w:r>
    </w:p>
    <w:p w:rsidR="00162772" w:rsidRPr="000053F6" w:rsidRDefault="00162772" w:rsidP="00162772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53F6">
        <w:rPr>
          <w:rFonts w:ascii="Times New Roman" w:hAnsi="Times New Roman" w:cs="Times New Roman"/>
          <w:b/>
          <w:bCs/>
          <w:sz w:val="24"/>
          <w:szCs w:val="24"/>
        </w:rPr>
        <w:t>10. Ярославская транспортная п</w:t>
      </w:r>
      <w:bookmarkStart w:id="0" w:name="_GoBack"/>
      <w:bookmarkEnd w:id="0"/>
      <w:r w:rsidRPr="000053F6">
        <w:rPr>
          <w:rFonts w:ascii="Times New Roman" w:hAnsi="Times New Roman" w:cs="Times New Roman"/>
          <w:b/>
          <w:bCs/>
          <w:sz w:val="24"/>
          <w:szCs w:val="24"/>
        </w:rPr>
        <w:t xml:space="preserve">рокуратура разъясняет: </w:t>
      </w:r>
      <w:r w:rsidRPr="000053F6">
        <w:rPr>
          <w:rFonts w:ascii="Times New Roman" w:hAnsi="Times New Roman" w:cs="Times New Roman"/>
          <w:b/>
          <w:bCs/>
          <w:sz w:val="24"/>
          <w:szCs w:val="24"/>
        </w:rPr>
        <w:t>В Трудовой кодекс Российской федерации внесены изменения, связанные с установлением гарантий для работников, выполняющих работу по наставничеству в сфере труда</w:t>
      </w:r>
    </w:p>
    <w:p w:rsidR="00162772" w:rsidRPr="00162772" w:rsidRDefault="00162772" w:rsidP="001627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2772">
        <w:rPr>
          <w:rFonts w:ascii="Times New Roman" w:hAnsi="Times New Roman" w:cs="Times New Roman"/>
          <w:sz w:val="24"/>
          <w:szCs w:val="24"/>
        </w:rPr>
        <w:t xml:space="preserve"> Федеральным законом от 09.11.2024 № 381-ФЗ внесены изменения в Трудовой кодекс Российской Федерации.</w:t>
      </w:r>
    </w:p>
    <w:p w:rsidR="00162772" w:rsidRPr="00162772" w:rsidRDefault="00162772" w:rsidP="001627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2772">
        <w:rPr>
          <w:rFonts w:ascii="Times New Roman" w:hAnsi="Times New Roman" w:cs="Times New Roman"/>
          <w:sz w:val="24"/>
          <w:szCs w:val="24"/>
        </w:rPr>
        <w:t>Трудовой кодекс дополнен новой статьей 351.8, согласно положениям которой под наставничеством в сфере труда понимается выполнение 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(специальности).</w:t>
      </w:r>
    </w:p>
    <w:p w:rsidR="00162772" w:rsidRPr="00162772" w:rsidRDefault="00162772" w:rsidP="001627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2772">
        <w:rPr>
          <w:rFonts w:ascii="Times New Roman" w:hAnsi="Times New Roman" w:cs="Times New Roman"/>
          <w:sz w:val="24"/>
          <w:szCs w:val="24"/>
        </w:rPr>
        <w:t xml:space="preserve">Предусматривается, что наставничество является оплачиваемым. Содержание, сроки и форма выполнения работы по наставничеству должны быть указаны в трудовом </w:t>
      </w:r>
      <w:r w:rsidRPr="00162772">
        <w:rPr>
          <w:rFonts w:ascii="Times New Roman" w:hAnsi="Times New Roman" w:cs="Times New Roman"/>
          <w:sz w:val="24"/>
          <w:szCs w:val="24"/>
        </w:rPr>
        <w:lastRenderedPageBreak/>
        <w:t>договоре или дополнительном соглашении к трудовому договору с работником, которому поручено наставничество.</w:t>
      </w:r>
    </w:p>
    <w:p w:rsidR="00162772" w:rsidRPr="001B65BC" w:rsidRDefault="00162772" w:rsidP="001627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2772">
        <w:rPr>
          <w:rFonts w:ascii="Times New Roman" w:hAnsi="Times New Roman" w:cs="Times New Roman"/>
          <w:sz w:val="24"/>
          <w:szCs w:val="24"/>
        </w:rPr>
        <w:t>Федеральный закон вступает в силу с 1 марта 2025 года.</w:t>
      </w:r>
    </w:p>
    <w:p w:rsidR="001B65BC" w:rsidRPr="001B65BC" w:rsidRDefault="001B65BC" w:rsidP="001B65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B65BC" w:rsidRPr="001B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C30"/>
    <w:rsid w:val="000053F6"/>
    <w:rsid w:val="00051ECE"/>
    <w:rsid w:val="00162772"/>
    <w:rsid w:val="001B65BC"/>
    <w:rsid w:val="00856C37"/>
    <w:rsid w:val="00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A9A5"/>
  <w15:chartTrackingRefBased/>
  <w15:docId w15:val="{0A8AEFA8-B6B5-4258-8BD6-E6675CD4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5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2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2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4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6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35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2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76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5962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1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939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7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726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448826">
                                                          <w:marLeft w:val="0"/>
                                                          <w:marRight w:val="7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211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9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828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81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8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8162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5558">
                          <w:marLeft w:val="12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8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599126">
                              <w:marLeft w:val="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12284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5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79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4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91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71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4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16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3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210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01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6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6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6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78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53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1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9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18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35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24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3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1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9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09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00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05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39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3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25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7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60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8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6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04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1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8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56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72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8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1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18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70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9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6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62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7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56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62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1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2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7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97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4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9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307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94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4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4</cp:revision>
  <dcterms:created xsi:type="dcterms:W3CDTF">2024-09-12T16:59:00Z</dcterms:created>
  <dcterms:modified xsi:type="dcterms:W3CDTF">2024-12-22T09:11:00Z</dcterms:modified>
</cp:coreProperties>
</file>